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Jeff Popplewell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Graphic Designer &amp; Frontend Web Developer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Salt Lake City</w:t>
        <w:br/>
        <w:t xml:space="preserve">801-638-9329</w:t>
        <w:br/>
        <w:t xml:space="preserve">gibbawho@gmail.com</w:t>
        <w:br/>
        <w:t xml:space="preserve">Portfolio: 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http://jpopplewell.design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Professional Summary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Creative Graphic Designer and Frontend Web Developer with 20+ years of experience creating websites, user interfaces, branding, print marketing, and digital campaigns. Experienced leading design initiatives from concept through launch with a strong blend of visual design and frontend development.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8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Skills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Adobe Photoshop, Illustrator, InDesign, Audition, Premiere, Figma, Git, HTML, CSS, SCSS, JavaScript, Python (supplementary), PHP (supplementary)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8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Technical Stack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HTML5, CSS3, SCSS, JavaScript, WordPress, Magento, BigCommerce, Shopify, React, PHP, Python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Professional Experience</w:t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16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Totally Awesome Computers (2004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2006)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Web design, print marketing design (magazine and newspaper advertising), video editing.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EZWatch Pro (2006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2011)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Designed and built ezwatchpro.com, biz-smarts.com, benchmarkplanning.com, smartwatch.com, homeview.com, and security-kits.com. Produced catalogs, advertisements, and product inserts.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JHR Digital (2011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2012)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Designed myfoodstorage.com, foodstorageprepare.com, wisefoodsupply.com, and lifesourcemeals.com. Created digital marketing assets and designed LifeSource Meals product labels.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Daz Productions (2012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2017)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Lead Marketing Designer and Lead Web Designer. Designed hundreds of marketing banners and landing pages, redesigned Daz3D.com, and launched Morph3D.com.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Phoenix Project Manager (2018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2020)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Lead Web Designer. Website design and maintenance for phoenixcpm.com, branding, logo redesign, and digital marketing.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4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RPM Provisioning Management (2023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2024)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Lead Designer. Website design and maintenance plus co-design of the RPM web application.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8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Selected Projects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Daz3D.com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PhoenixCPM.com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RPMCable.com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8"/>
          <w:shd w:fill="auto" w:val="clear"/>
        </w:rPr>
        <w:br/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Freelance Portfolio Highlights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ReachBroadband.com, BeijerElectronics.com, ColeHolland.com, HomeCareGivers.com, UtahnsAgainstHunger.org, SchneiderAuto.net, RockingHorseRanch.com.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jpopplewell.design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